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73E" w:rsidRPr="00891AB0" w:rsidRDefault="00891AB0" w:rsidP="00E911FE">
      <w:pPr>
        <w:pStyle w:val="Heading2"/>
        <w:rPr>
          <w:lang w:val="en-US"/>
        </w:rPr>
      </w:pPr>
      <w:proofErr w:type="spellStart"/>
      <w:r>
        <w:rPr>
          <w:lang w:val="en-US"/>
        </w:rPr>
        <w:t>ReadingR</w:t>
      </w:r>
      <w:r w:rsidR="00E911FE" w:rsidRPr="00891AB0">
        <w:rPr>
          <w:lang w:val="en-US"/>
        </w:rPr>
        <w:t>oom</w:t>
      </w:r>
      <w:proofErr w:type="spellEnd"/>
      <w:r w:rsidR="00E911FE" w:rsidRPr="00891AB0">
        <w:rPr>
          <w:lang w:val="en-US"/>
        </w:rPr>
        <w:t xml:space="preserve"> </w:t>
      </w:r>
      <w:r>
        <w:rPr>
          <w:lang w:val="en-US"/>
        </w:rPr>
        <w:t>Administrator</w:t>
      </w:r>
      <w:r w:rsidR="00E911FE" w:rsidRPr="00891AB0">
        <w:rPr>
          <w:lang w:val="en-US"/>
        </w:rPr>
        <w:t xml:space="preserve"> Guide</w:t>
      </w:r>
    </w:p>
    <w:p w:rsidR="00E911FE" w:rsidRPr="00891AB0" w:rsidRDefault="00E911FE" w:rsidP="00E911FE">
      <w:pPr>
        <w:rPr>
          <w:lang w:val="en-US"/>
        </w:rPr>
      </w:pPr>
    </w:p>
    <w:p w:rsidR="00E911FE" w:rsidRPr="00E911FE" w:rsidRDefault="0099132C" w:rsidP="00E911FE">
      <w:pPr>
        <w:pStyle w:val="Heading3"/>
        <w:rPr>
          <w:lang w:val="en-US"/>
        </w:rPr>
      </w:pPr>
      <w:r>
        <w:rPr>
          <w:lang w:val="en-US"/>
        </w:rPr>
        <w:t>Module</w:t>
      </w:r>
      <w:r w:rsidR="00E911FE" w:rsidRPr="00E911FE">
        <w:rPr>
          <w:lang w:val="en-US"/>
        </w:rPr>
        <w:t xml:space="preserve"> Configuration</w:t>
      </w:r>
    </w:p>
    <w:p w:rsidR="00E911FE" w:rsidRPr="00E911FE" w:rsidRDefault="00E911FE" w:rsidP="00E911FE">
      <w:pPr>
        <w:rPr>
          <w:lang w:val="en-US"/>
        </w:rPr>
      </w:pPr>
      <w:r w:rsidRPr="00E911FE">
        <w:rPr>
          <w:lang w:val="en-US"/>
        </w:rPr>
        <w:t xml:space="preserve">To use </w:t>
      </w:r>
      <w:proofErr w:type="spellStart"/>
      <w:r w:rsidRPr="00E911FE">
        <w:rPr>
          <w:lang w:val="en-US"/>
        </w:rPr>
        <w:t>Readingroom</w:t>
      </w:r>
      <w:proofErr w:type="spellEnd"/>
      <w:r w:rsidRPr="00E911FE">
        <w:rPr>
          <w:lang w:val="en-US"/>
        </w:rPr>
        <w:t xml:space="preserve"> you need to enable following modules:</w:t>
      </w:r>
    </w:p>
    <w:p w:rsidR="00E911FE" w:rsidRDefault="00E911FE" w:rsidP="00E911F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DRR Base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– required by all other </w:t>
      </w:r>
      <w:proofErr w:type="spellStart"/>
      <w:r>
        <w:rPr>
          <w:lang w:val="en-US"/>
        </w:rPr>
        <w:t>ReadingRoom</w:t>
      </w:r>
      <w:proofErr w:type="spellEnd"/>
      <w:r>
        <w:rPr>
          <w:lang w:val="en-US"/>
        </w:rPr>
        <w:t xml:space="preserve"> modules</w:t>
      </w:r>
    </w:p>
    <w:p w:rsidR="00E911FE" w:rsidRDefault="00E911FE" w:rsidP="00E911F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DRR Image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– allows to present metadata of images and waypoints</w:t>
      </w:r>
    </w:p>
    <w:p w:rsidR="00E911FE" w:rsidRDefault="00E911FE" w:rsidP="00E911F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DRR Image Viewer JavaScript</w:t>
      </w:r>
      <w:r>
        <w:rPr>
          <w:lang w:val="en-US"/>
        </w:rPr>
        <w:tab/>
        <w:t>– presents images to users</w:t>
      </w:r>
    </w:p>
    <w:p w:rsidR="00E911FE" w:rsidRDefault="00E911FE" w:rsidP="00E911F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DRR Record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– allows to present record data as names, dates a. s. o.</w:t>
      </w:r>
    </w:p>
    <w:p w:rsidR="00E911FE" w:rsidRDefault="0099132C" w:rsidP="00E911F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DRR Record </w:t>
      </w:r>
      <w:proofErr w:type="spellStart"/>
      <w:r>
        <w:rPr>
          <w:lang w:val="en-US"/>
        </w:rPr>
        <w:t>FamilySearch</w:t>
      </w:r>
      <w:proofErr w:type="spellEnd"/>
      <w:r>
        <w:rPr>
          <w:lang w:val="en-US"/>
        </w:rPr>
        <w:tab/>
        <w:t>– makes some default settings on DRR Record for data import</w:t>
      </w:r>
    </w:p>
    <w:p w:rsidR="0099132C" w:rsidRDefault="0099132C" w:rsidP="0099132C">
      <w:pPr>
        <w:rPr>
          <w:lang w:val="en-US"/>
        </w:rPr>
      </w:pPr>
      <w:r>
        <w:rPr>
          <w:lang w:val="en-US"/>
        </w:rPr>
        <w:t>To enable your modules need to have administration rights.</w:t>
      </w:r>
    </w:p>
    <w:p w:rsidR="003B04A0" w:rsidRDefault="003B04A0" w:rsidP="0099132C">
      <w:pPr>
        <w:rPr>
          <w:lang w:val="en-US"/>
        </w:rPr>
      </w:pPr>
    </w:p>
    <w:p w:rsidR="0099132C" w:rsidRDefault="003B04A0" w:rsidP="003B04A0">
      <w:pPr>
        <w:pStyle w:val="Heading2"/>
        <w:rPr>
          <w:lang w:val="en-US"/>
        </w:rPr>
      </w:pPr>
      <w:r>
        <w:rPr>
          <w:lang w:val="en-US"/>
        </w:rPr>
        <w:t>Basic Configuration</w:t>
      </w:r>
    </w:p>
    <w:p w:rsidR="003B04A0" w:rsidRPr="003B04A0" w:rsidRDefault="003B04A0" w:rsidP="003B04A0">
      <w:pPr>
        <w:rPr>
          <w:lang w:val="en-US"/>
        </w:rPr>
      </w:pPr>
      <w:r>
        <w:rPr>
          <w:lang w:val="en-US"/>
        </w:rPr>
        <w:t xml:space="preserve">To change the basic configuration you go to </w:t>
      </w:r>
      <w:r w:rsidRPr="003B04A0">
        <w:rPr>
          <w:color w:val="0070C0"/>
          <w:lang w:val="en-US"/>
        </w:rPr>
        <w:t xml:space="preserve">&gt; Configuration – </w:t>
      </w:r>
      <w:proofErr w:type="spellStart"/>
      <w:r w:rsidRPr="003B04A0">
        <w:rPr>
          <w:color w:val="0070C0"/>
          <w:lang w:val="en-US"/>
        </w:rPr>
        <w:t>ReadingRoom</w:t>
      </w:r>
      <w:proofErr w:type="spellEnd"/>
      <w:r w:rsidRPr="003B04A0">
        <w:rPr>
          <w:color w:val="0070C0"/>
          <w:lang w:val="en-US"/>
        </w:rPr>
        <w:t xml:space="preserve"> – Base Settings&lt;</w:t>
      </w:r>
      <w:r>
        <w:rPr>
          <w:lang w:val="en-US"/>
        </w:rPr>
        <w:t>.</w:t>
      </w:r>
    </w:p>
    <w:p w:rsidR="0099132C" w:rsidRDefault="0099132C" w:rsidP="0099132C">
      <w:pPr>
        <w:pStyle w:val="Heading5"/>
        <w:rPr>
          <w:lang w:val="en-US"/>
        </w:rPr>
      </w:pPr>
      <w:r>
        <w:rPr>
          <w:lang w:val="en-US"/>
        </w:rPr>
        <w:t>Public Access Level</w:t>
      </w:r>
    </w:p>
    <w:p w:rsidR="0099132C" w:rsidRDefault="0099132C" w:rsidP="0099132C">
      <w:pPr>
        <w:rPr>
          <w:lang w:val="en-US"/>
        </w:rPr>
      </w:pPr>
      <w:r>
        <w:rPr>
          <w:lang w:val="en-US"/>
        </w:rPr>
        <w:t xml:space="preserve">Data entries have an access level. All </w:t>
      </w:r>
      <w:proofErr w:type="gramStart"/>
      <w:r>
        <w:rPr>
          <w:lang w:val="en-US"/>
        </w:rPr>
        <w:t>user</w:t>
      </w:r>
      <w:proofErr w:type="gramEnd"/>
      <w:r>
        <w:rPr>
          <w:lang w:val="en-US"/>
        </w:rPr>
        <w:t xml:space="preserve"> who have assigned an access role with this level or below and administrators can access this data entries. Data entries with public access level can be accessed from anybody.</w:t>
      </w:r>
    </w:p>
    <w:p w:rsidR="003B04A0" w:rsidRDefault="003B04A0" w:rsidP="0099132C">
      <w:pPr>
        <w:rPr>
          <w:lang w:val="en-US"/>
        </w:rPr>
      </w:pPr>
    </w:p>
    <w:p w:rsidR="003E2637" w:rsidRDefault="003E2637" w:rsidP="003E2637">
      <w:pPr>
        <w:pStyle w:val="Heading2"/>
        <w:rPr>
          <w:lang w:val="en-US"/>
        </w:rPr>
      </w:pPr>
      <w:r>
        <w:rPr>
          <w:lang w:val="en-US"/>
        </w:rPr>
        <w:t>Rights Configuration</w:t>
      </w:r>
    </w:p>
    <w:tbl>
      <w:tblPr>
        <w:tblStyle w:val="TableGrid"/>
        <w:tblW w:w="0" w:type="auto"/>
        <w:tblLook w:val="04A0"/>
      </w:tblPr>
      <w:tblGrid>
        <w:gridCol w:w="1171"/>
        <w:gridCol w:w="3071"/>
        <w:gridCol w:w="4938"/>
      </w:tblGrid>
      <w:tr w:rsidR="003E2637" w:rsidTr="008F6C35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37" w:rsidRDefault="003E2637" w:rsidP="008F6C35">
            <w:pPr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Module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37" w:rsidRDefault="003E2637" w:rsidP="008F6C35">
            <w:pPr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Right Name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37" w:rsidRDefault="003E2637" w:rsidP="008F6C35">
            <w:pPr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Description</w:t>
            </w:r>
          </w:p>
        </w:tc>
      </w:tr>
      <w:tr w:rsidR="003E2637" w:rsidRPr="003E2637" w:rsidTr="008F6C35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37" w:rsidRDefault="003E2637" w:rsidP="008F6C35">
            <w:pPr>
              <w:rPr>
                <w:lang w:val="en-US"/>
              </w:rPr>
            </w:pPr>
            <w:r>
              <w:rPr>
                <w:lang w:val="en-US"/>
              </w:rPr>
              <w:t>DRR Base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37" w:rsidRDefault="003E2637" w:rsidP="008F6C35">
            <w:pPr>
              <w:rPr>
                <w:lang w:val="en-US"/>
              </w:rPr>
            </w:pPr>
            <w:r>
              <w:rPr>
                <w:lang w:val="en-US"/>
              </w:rPr>
              <w:t xml:space="preserve">Administer </w:t>
            </w:r>
            <w:proofErr w:type="spellStart"/>
            <w:r>
              <w:rPr>
                <w:lang w:val="en-US"/>
              </w:rPr>
              <w:t>ReadingRoom</w:t>
            </w:r>
            <w:proofErr w:type="spellEnd"/>
            <w:r>
              <w:rPr>
                <w:lang w:val="en-US"/>
              </w:rPr>
              <w:t xml:space="preserve"> base settings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37" w:rsidRDefault="003E2637" w:rsidP="008F6C35">
            <w:pPr>
              <w:rPr>
                <w:lang w:val="en-US"/>
              </w:rPr>
            </w:pPr>
            <w:r>
              <w:rPr>
                <w:lang w:val="en-US"/>
              </w:rPr>
              <w:t>allows to access and administer the Basic Configuration Page</w:t>
            </w:r>
          </w:p>
        </w:tc>
      </w:tr>
      <w:tr w:rsidR="003E2637" w:rsidRPr="003E2637" w:rsidTr="008F6C35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37" w:rsidRDefault="003E2637" w:rsidP="008F6C35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37" w:rsidRDefault="003E2637" w:rsidP="008F6C35">
            <w:pPr>
              <w:rPr>
                <w:lang w:val="en-US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37" w:rsidRDefault="003E2637" w:rsidP="008F6C35">
            <w:pPr>
              <w:rPr>
                <w:lang w:val="en-US"/>
              </w:rPr>
            </w:pPr>
          </w:p>
        </w:tc>
      </w:tr>
      <w:tr w:rsidR="003E2637" w:rsidRPr="003E2637" w:rsidTr="008F6C35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37" w:rsidRDefault="003E2637" w:rsidP="008F6C35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37" w:rsidRDefault="003E2637" w:rsidP="008F6C35">
            <w:pPr>
              <w:rPr>
                <w:lang w:val="en-US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37" w:rsidRDefault="003E2637" w:rsidP="008F6C35">
            <w:pPr>
              <w:rPr>
                <w:lang w:val="en-US"/>
              </w:rPr>
            </w:pPr>
          </w:p>
        </w:tc>
      </w:tr>
      <w:tr w:rsidR="003E2637" w:rsidRPr="003E2637" w:rsidTr="008F6C35"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37" w:rsidRDefault="003E2637" w:rsidP="008F6C35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37" w:rsidRDefault="003E2637" w:rsidP="008F6C35">
            <w:pPr>
              <w:rPr>
                <w:lang w:val="en-US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637" w:rsidRDefault="003E2637" w:rsidP="008F6C35">
            <w:pPr>
              <w:rPr>
                <w:lang w:val="en-US"/>
              </w:rPr>
            </w:pPr>
          </w:p>
        </w:tc>
      </w:tr>
    </w:tbl>
    <w:p w:rsidR="003E2637" w:rsidRDefault="003E2637" w:rsidP="003E2637">
      <w:pPr>
        <w:rPr>
          <w:lang w:val="en-US"/>
        </w:rPr>
      </w:pPr>
    </w:p>
    <w:p w:rsidR="003E2637" w:rsidRDefault="003E2637" w:rsidP="0099132C">
      <w:pPr>
        <w:rPr>
          <w:lang w:val="en-US"/>
        </w:rPr>
      </w:pPr>
    </w:p>
    <w:p w:rsidR="003B04A0" w:rsidRDefault="003B04A0" w:rsidP="003B04A0">
      <w:pPr>
        <w:pStyle w:val="Heading2"/>
        <w:rPr>
          <w:lang w:val="en-US"/>
        </w:rPr>
      </w:pPr>
      <w:r>
        <w:rPr>
          <w:lang w:val="en-US"/>
        </w:rPr>
        <w:t>Data Import</w:t>
      </w:r>
    </w:p>
    <w:p w:rsidR="003B04A0" w:rsidRDefault="003B04A0" w:rsidP="003B04A0">
      <w:pPr>
        <w:rPr>
          <w:lang w:val="en-US"/>
        </w:rPr>
      </w:pPr>
      <w:r>
        <w:rPr>
          <w:lang w:val="en-US"/>
        </w:rPr>
        <w:t xml:space="preserve">If you have rights to import data you can click on the link in the </w:t>
      </w:r>
      <w:proofErr w:type="spellStart"/>
      <w:r>
        <w:rPr>
          <w:lang w:val="en-US"/>
        </w:rPr>
        <w:t>ReadingRoom</w:t>
      </w:r>
      <w:proofErr w:type="spellEnd"/>
      <w:r>
        <w:rPr>
          <w:lang w:val="en-US"/>
        </w:rPr>
        <w:t xml:space="preserve"> block or go to </w:t>
      </w:r>
      <w:r w:rsidRPr="003B04A0">
        <w:rPr>
          <w:color w:val="0070C0"/>
          <w:lang w:val="en-US"/>
        </w:rPr>
        <w:t xml:space="preserve">&gt; Configuration – </w:t>
      </w:r>
      <w:proofErr w:type="spellStart"/>
      <w:r w:rsidRPr="003B04A0">
        <w:rPr>
          <w:color w:val="0070C0"/>
          <w:lang w:val="en-US"/>
        </w:rPr>
        <w:t>ReadingRoom</w:t>
      </w:r>
      <w:proofErr w:type="spellEnd"/>
      <w:r w:rsidRPr="003B04A0">
        <w:rPr>
          <w:color w:val="0070C0"/>
          <w:lang w:val="en-US"/>
        </w:rPr>
        <w:t xml:space="preserve"> – Import </w:t>
      </w:r>
      <w:proofErr w:type="spellStart"/>
      <w:r w:rsidRPr="003B04A0">
        <w:rPr>
          <w:color w:val="0070C0"/>
          <w:lang w:val="en-US"/>
        </w:rPr>
        <w:t>ReadingRoom</w:t>
      </w:r>
      <w:proofErr w:type="spellEnd"/>
      <w:r w:rsidRPr="003B04A0">
        <w:rPr>
          <w:color w:val="0070C0"/>
          <w:lang w:val="en-US"/>
        </w:rPr>
        <w:t xml:space="preserve"> Data &lt;</w:t>
      </w:r>
      <w:r>
        <w:rPr>
          <w:lang w:val="en-US"/>
        </w:rPr>
        <w:t>.</w:t>
      </w:r>
    </w:p>
    <w:p w:rsidR="003B04A0" w:rsidRDefault="003B04A0" w:rsidP="003B04A0">
      <w:pPr>
        <w:pStyle w:val="Heading5"/>
        <w:rPr>
          <w:lang w:val="en-US"/>
        </w:rPr>
      </w:pPr>
      <w:r>
        <w:rPr>
          <w:lang w:val="en-US"/>
        </w:rPr>
        <w:t>Import Type</w:t>
      </w:r>
    </w:p>
    <w:p w:rsidR="003B04A0" w:rsidRDefault="003B04A0" w:rsidP="003B04A0">
      <w:pPr>
        <w:rPr>
          <w:lang w:val="en-US"/>
        </w:rPr>
      </w:pPr>
      <w:r>
        <w:rPr>
          <w:lang w:val="en-US"/>
        </w:rPr>
        <w:t>Depending from modules enabled you can specify which type of data will be imported. (Default is all data).</w:t>
      </w:r>
    </w:p>
    <w:p w:rsidR="003B04A0" w:rsidRDefault="003B04A0" w:rsidP="003B04A0">
      <w:pPr>
        <w:pStyle w:val="Heading5"/>
        <w:rPr>
          <w:lang w:val="en-US"/>
        </w:rPr>
      </w:pPr>
      <w:r>
        <w:rPr>
          <w:lang w:val="en-US"/>
        </w:rPr>
        <w:t>Root Directory of Data Import</w:t>
      </w:r>
    </w:p>
    <w:p w:rsidR="003B04A0" w:rsidRDefault="003B04A0" w:rsidP="003B04A0">
      <w:pPr>
        <w:rPr>
          <w:lang w:val="en-US"/>
        </w:rPr>
      </w:pPr>
      <w:r>
        <w:rPr>
          <w:lang w:val="en-US"/>
        </w:rPr>
        <w:t>Specify the root directory from where you have saved your data.</w:t>
      </w:r>
    </w:p>
    <w:p w:rsidR="003B04A0" w:rsidRDefault="003B04A0" w:rsidP="003B04A0">
      <w:pPr>
        <w:pStyle w:val="Heading5"/>
        <w:rPr>
          <w:lang w:val="en-US"/>
        </w:rPr>
      </w:pPr>
      <w:r>
        <w:rPr>
          <w:lang w:val="en-US"/>
        </w:rPr>
        <w:t>Delete data before import</w:t>
      </w:r>
    </w:p>
    <w:p w:rsidR="003B04A0" w:rsidRDefault="003B04A0" w:rsidP="003B04A0">
      <w:pPr>
        <w:rPr>
          <w:lang w:val="en-US"/>
        </w:rPr>
      </w:pPr>
      <w:r>
        <w:rPr>
          <w:lang w:val="en-US"/>
        </w:rPr>
        <w:t xml:space="preserve">Check </w:t>
      </w:r>
      <w:proofErr w:type="gramStart"/>
      <w:r>
        <w:rPr>
          <w:lang w:val="en-US"/>
        </w:rPr>
        <w:t>this box if you want delete</w:t>
      </w:r>
      <w:proofErr w:type="gramEnd"/>
      <w:r>
        <w:rPr>
          <w:lang w:val="en-US"/>
        </w:rPr>
        <w:t xml:space="preserve"> all current data before import. This allows you to make a clean new import.</w:t>
      </w:r>
    </w:p>
    <w:p w:rsidR="003B04A0" w:rsidRDefault="00F7377A" w:rsidP="00F7377A">
      <w:pPr>
        <w:pStyle w:val="Heading5"/>
        <w:rPr>
          <w:lang w:val="en-US"/>
        </w:rPr>
      </w:pPr>
      <w:r>
        <w:rPr>
          <w:lang w:val="en-US"/>
        </w:rPr>
        <w:t xml:space="preserve">Recreate </w:t>
      </w:r>
      <w:proofErr w:type="spellStart"/>
      <w:r>
        <w:rPr>
          <w:lang w:val="en-US"/>
        </w:rPr>
        <w:t>Solr</w:t>
      </w:r>
      <w:proofErr w:type="spellEnd"/>
      <w:r>
        <w:rPr>
          <w:lang w:val="en-US"/>
        </w:rPr>
        <w:t xml:space="preserve"> index after import</w:t>
      </w:r>
    </w:p>
    <w:p w:rsidR="00F7377A" w:rsidRDefault="00F7377A" w:rsidP="00F7377A">
      <w:pPr>
        <w:rPr>
          <w:lang w:val="en-US"/>
        </w:rPr>
      </w:pPr>
      <w:r>
        <w:rPr>
          <w:lang w:val="en-US"/>
        </w:rPr>
        <w:t xml:space="preserve">Check this box for </w:t>
      </w:r>
      <w:proofErr w:type="spellStart"/>
      <w:r>
        <w:rPr>
          <w:lang w:val="en-US"/>
        </w:rPr>
        <w:t>Solr</w:t>
      </w:r>
      <w:proofErr w:type="spellEnd"/>
      <w:r>
        <w:rPr>
          <w:lang w:val="en-US"/>
        </w:rPr>
        <w:t xml:space="preserve"> index to be recreated automatically after import.</w:t>
      </w:r>
      <w:r w:rsidR="00891AB0">
        <w:rPr>
          <w:lang w:val="en-US"/>
        </w:rPr>
        <w:t xml:space="preserve"> (This feature is available only if your </w:t>
      </w:r>
      <w:proofErr w:type="spellStart"/>
      <w:r w:rsidR="00891AB0">
        <w:rPr>
          <w:lang w:val="en-US"/>
        </w:rPr>
        <w:t>Solr</w:t>
      </w:r>
      <w:proofErr w:type="spellEnd"/>
      <w:r w:rsidR="00891AB0">
        <w:rPr>
          <w:lang w:val="en-US"/>
        </w:rPr>
        <w:t xml:space="preserve"> server is running and configured properly.)</w:t>
      </w:r>
    </w:p>
    <w:p w:rsidR="00F7377A" w:rsidRDefault="00F7377A" w:rsidP="00F7377A">
      <w:pPr>
        <w:pStyle w:val="Heading5"/>
        <w:rPr>
          <w:lang w:val="en-US"/>
        </w:rPr>
      </w:pPr>
      <w:r>
        <w:rPr>
          <w:lang w:val="en-US"/>
        </w:rPr>
        <w:t>Write a log file</w:t>
      </w:r>
    </w:p>
    <w:p w:rsidR="00F7377A" w:rsidRPr="00F7377A" w:rsidRDefault="00F7377A" w:rsidP="00F7377A">
      <w:pPr>
        <w:rPr>
          <w:lang w:val="en-US"/>
        </w:rPr>
      </w:pPr>
      <w:r>
        <w:rPr>
          <w:lang w:val="en-US"/>
        </w:rPr>
        <w:t>Mark this if you want to get log file and specify your File. Please make sure that the directory is reachable for your web server.</w:t>
      </w:r>
    </w:p>
    <w:sectPr w:rsidR="00F7377A" w:rsidRPr="00F7377A" w:rsidSect="00A579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4CEC"/>
    <w:multiLevelType w:val="hybridMultilevel"/>
    <w:tmpl w:val="673009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2"/>
  <w:proofState w:spelling="clean" w:grammar="clean"/>
  <w:defaultTabStop w:val="708"/>
  <w:hyphenationZone w:val="425"/>
  <w:characterSpacingControl w:val="doNotCompress"/>
  <w:compat/>
  <w:rsids>
    <w:rsidRoot w:val="00E911FE"/>
    <w:rsid w:val="003B04A0"/>
    <w:rsid w:val="003E2637"/>
    <w:rsid w:val="00891AB0"/>
    <w:rsid w:val="0099132C"/>
    <w:rsid w:val="00A579B5"/>
    <w:rsid w:val="00B45CBE"/>
    <w:rsid w:val="00BB5CA8"/>
    <w:rsid w:val="00D30CF7"/>
    <w:rsid w:val="00E911FE"/>
    <w:rsid w:val="00F73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637"/>
    <w:rPr>
      <w:sz w:val="1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11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911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913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913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11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911F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E911FE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9913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99132C"/>
    <w:rPr>
      <w:rFonts w:asciiTheme="majorHAnsi" w:eastAsiaTheme="majorEastAsia" w:hAnsiTheme="majorHAnsi" w:cstheme="majorBidi"/>
      <w:color w:val="243F60" w:themeColor="accent1" w:themeShade="7F"/>
    </w:rPr>
  </w:style>
  <w:style w:type="table" w:styleId="TableGrid">
    <w:name w:val="Table Grid"/>
    <w:basedOn w:val="TableNormal"/>
    <w:uiPriority w:val="59"/>
    <w:rsid w:val="003E2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LDS Church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beyersdorfertj</dc:creator>
  <cp:lastModifiedBy>beyersdorfertj</cp:lastModifiedBy>
  <cp:revision>2</cp:revision>
  <dcterms:created xsi:type="dcterms:W3CDTF">2013-08-21T13:23:00Z</dcterms:created>
  <dcterms:modified xsi:type="dcterms:W3CDTF">2013-08-23T11:14:00Z</dcterms:modified>
</cp:coreProperties>
</file>